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EE5" w:rsidRDefault="00A6737B">
      <w:pPr>
        <w:spacing w:after="237" w:line="240" w:lineRule="auto"/>
        <w:ind w:right="132"/>
        <w:jc w:val="right"/>
      </w:pPr>
      <w:r>
        <w:rPr>
          <w:rFonts w:ascii="Corbel" w:eastAsia="Corbel" w:hAnsi="Corbel" w:cs="Corbel"/>
          <w:i/>
        </w:rPr>
        <w:t xml:space="preserve">nr 1.5 do Zarządzenia Rektora UR nr 12/2019 </w:t>
      </w:r>
    </w:p>
    <w:p w:rsidR="00210EE5" w:rsidRDefault="00A6737B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210EE5" w:rsidRDefault="00A6737B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4F66A7" w:rsidRPr="00B86DD2">
        <w:rPr>
          <w:rFonts w:ascii="Corbel" w:eastAsia="Corbel" w:hAnsi="Corbel" w:cs="Corbel"/>
          <w:b/>
          <w:i/>
          <w:sz w:val="24"/>
        </w:rPr>
        <w:t>20</w:t>
      </w:r>
      <w:r w:rsidR="00820FF1">
        <w:rPr>
          <w:rFonts w:ascii="Corbel" w:eastAsia="Corbel" w:hAnsi="Corbel" w:cs="Corbel"/>
          <w:b/>
          <w:i/>
          <w:sz w:val="24"/>
        </w:rPr>
        <w:t>19</w:t>
      </w:r>
      <w:r w:rsidR="004F66A7" w:rsidRPr="00B86DD2">
        <w:rPr>
          <w:rFonts w:ascii="Corbel" w:eastAsia="Corbel" w:hAnsi="Corbel" w:cs="Corbel"/>
          <w:b/>
          <w:i/>
          <w:sz w:val="24"/>
        </w:rPr>
        <w:t>-202</w:t>
      </w:r>
      <w:r w:rsidR="00820FF1">
        <w:rPr>
          <w:rFonts w:ascii="Corbel" w:eastAsia="Corbel" w:hAnsi="Corbel" w:cs="Corbel"/>
          <w:b/>
          <w:i/>
          <w:sz w:val="24"/>
        </w:rPr>
        <w:t>2</w:t>
      </w:r>
    </w:p>
    <w:p w:rsidR="00210EE5" w:rsidRDefault="00A6737B">
      <w:pPr>
        <w:spacing w:after="18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</w:t>
      </w:r>
      <w:r w:rsidR="00664D79">
        <w:rPr>
          <w:rFonts w:ascii="Corbel" w:eastAsia="Corbel" w:hAnsi="Corbel" w:cs="Corbel"/>
          <w:i/>
          <w:sz w:val="24"/>
        </w:rPr>
        <w:tab/>
      </w:r>
      <w:r w:rsidR="00664D79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210EE5" w:rsidRPr="007F528F" w:rsidRDefault="00182ACE">
      <w:pPr>
        <w:spacing w:after="32" w:line="240" w:lineRule="auto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7F528F">
        <w:rPr>
          <w:rFonts w:ascii="Corbel" w:eastAsia="Corbel" w:hAnsi="Corbel" w:cs="Corbel"/>
          <w:b/>
          <w:sz w:val="20"/>
        </w:rPr>
        <w:t xml:space="preserve">Rok akademicki  </w:t>
      </w:r>
      <w:r w:rsidRPr="007F528F">
        <w:rPr>
          <w:rFonts w:ascii="Corbel" w:eastAsia="Corbel" w:hAnsi="Corbel" w:cs="Corbel"/>
          <w:b/>
          <w:sz w:val="20"/>
        </w:rPr>
        <w:t>2</w:t>
      </w:r>
      <w:r w:rsidR="004F66A7" w:rsidRPr="007F528F">
        <w:rPr>
          <w:rFonts w:ascii="Corbel" w:eastAsia="Corbel" w:hAnsi="Corbel" w:cs="Corbel"/>
          <w:b/>
          <w:sz w:val="20"/>
        </w:rPr>
        <w:t>02</w:t>
      </w:r>
      <w:r w:rsidR="00820FF1">
        <w:rPr>
          <w:rFonts w:ascii="Corbel" w:eastAsia="Corbel" w:hAnsi="Corbel" w:cs="Corbel"/>
          <w:b/>
          <w:sz w:val="20"/>
        </w:rPr>
        <w:t>1</w:t>
      </w:r>
      <w:r w:rsidR="004F66A7" w:rsidRPr="007F528F">
        <w:rPr>
          <w:rFonts w:ascii="Corbel" w:eastAsia="Corbel" w:hAnsi="Corbel" w:cs="Corbel"/>
          <w:b/>
          <w:sz w:val="20"/>
        </w:rPr>
        <w:t>/202</w:t>
      </w:r>
      <w:r w:rsidR="00820FF1">
        <w:rPr>
          <w:rFonts w:ascii="Corbel" w:eastAsia="Corbel" w:hAnsi="Corbel" w:cs="Corbel"/>
          <w:b/>
          <w:sz w:val="20"/>
        </w:rPr>
        <w:t>2</w:t>
      </w:r>
    </w:p>
    <w:p w:rsidR="00210EE5" w:rsidRDefault="00A6737B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Marketing polityczny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MK_13 </w:t>
            </w:r>
          </w:p>
        </w:tc>
      </w:tr>
      <w:tr w:rsidR="00210EE5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210EE5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664D79">
            <w:pPr>
              <w:ind w:left="3"/>
            </w:pPr>
            <w:r w:rsidRPr="00664D79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210EE5">
        <w:trPr>
          <w:trHeight w:val="30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Poziom kształcenia 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  <w:bookmarkStart w:id="0" w:name="_GoBack"/>
        <w:bookmarkEnd w:id="0"/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Rok i semestr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>
            <w:pPr>
              <w:ind w:left="3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210EE5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210EE5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Paweł Kuca </w:t>
            </w:r>
          </w:p>
        </w:tc>
      </w:tr>
      <w:tr w:rsidR="00210EE5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210EE5"/>
        </w:tc>
      </w:tr>
      <w:tr w:rsidR="00210EE5">
        <w:trPr>
          <w:trHeight w:val="56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Wojciech Furman, dr Paweł Kuca </w:t>
            </w:r>
          </w:p>
        </w:tc>
      </w:tr>
    </w:tbl>
    <w:p w:rsidR="00210EE5" w:rsidRDefault="00A6737B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 xml:space="preserve">- </w:t>
      </w:r>
      <w:r w:rsidR="00A97F23" w:rsidRPr="00A97F23">
        <w:rPr>
          <w:rFonts w:ascii="Corbel" w:eastAsia="Corbel" w:hAnsi="Corbel" w:cs="Corbel"/>
          <w:i/>
          <w:sz w:val="24"/>
        </w:rPr>
        <w:t>opcjonalnie</w:t>
      </w:r>
      <w:r w:rsidR="00A97F23">
        <w:rPr>
          <w:rFonts w:ascii="Corbel" w:eastAsia="Corbel" w:hAnsi="Corbel" w:cs="Corbel"/>
          <w:b/>
          <w:i/>
          <w:sz w:val="24"/>
        </w:rPr>
        <w:t xml:space="preserve">, </w:t>
      </w:r>
      <w:r>
        <w:rPr>
          <w:rFonts w:ascii="Corbel" w:eastAsia="Corbel" w:hAnsi="Corbel" w:cs="Corbel"/>
          <w:i/>
          <w:sz w:val="24"/>
        </w:rPr>
        <w:t xml:space="preserve">zgodnie z ustaleniami </w:t>
      </w:r>
      <w:r w:rsidR="00BA1DB7">
        <w:rPr>
          <w:rFonts w:ascii="Corbel" w:eastAsia="Corbel" w:hAnsi="Corbel" w:cs="Corbel"/>
          <w:i/>
          <w:sz w:val="24"/>
        </w:rPr>
        <w:t xml:space="preserve">w </w:t>
      </w:r>
      <w:r w:rsidR="004122C7">
        <w:rPr>
          <w:rFonts w:ascii="Corbel" w:eastAsia="Corbel" w:hAnsi="Corbel" w:cs="Corbel"/>
          <w:i/>
          <w:sz w:val="24"/>
        </w:rPr>
        <w:t>j</w:t>
      </w:r>
      <w:r w:rsidR="00BA1DB7">
        <w:rPr>
          <w:rFonts w:ascii="Corbel" w:eastAsia="Corbel" w:hAnsi="Corbel" w:cs="Corbel"/>
          <w:i/>
          <w:sz w:val="24"/>
        </w:rPr>
        <w:t>ednostce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7" w:line="244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210EE5" w:rsidTr="00182AC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 ECTS</w:t>
            </w:r>
          </w:p>
        </w:tc>
      </w:tr>
      <w:tr w:rsidR="00210EE5" w:rsidTr="00182ACE">
        <w:trPr>
          <w:trHeight w:val="46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35533A" w:rsidP="00182ACE">
            <w:pPr>
              <w:jc w:val="center"/>
            </w:pPr>
            <w:r>
              <w:t>-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82ACE" w:rsidRDefault="00A6737B" w:rsidP="00182ACE">
      <w:pPr>
        <w:spacing w:after="47" w:line="25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</w:p>
    <w:p w:rsidR="00210EE5" w:rsidRPr="00182ACE" w:rsidRDefault="00A6737B" w:rsidP="00182ACE">
      <w:pPr>
        <w:spacing w:after="47" w:line="250" w:lineRule="auto"/>
        <w:rPr>
          <w:rFonts w:ascii="Corbel" w:hAnsi="Corbel"/>
        </w:rPr>
      </w:pPr>
      <w:r w:rsidRPr="00182ACE">
        <w:rPr>
          <w:rFonts w:ascii="Corbel" w:eastAsia="MS Gothic" w:hAnsi="Corbel" w:cs="MS Gothic"/>
          <w:sz w:val="24"/>
        </w:rPr>
        <w:t>X</w:t>
      </w:r>
      <w:r w:rsidRPr="00182ACE">
        <w:rPr>
          <w:rFonts w:ascii="Corbel" w:eastAsia="Corbel" w:hAnsi="Corbel" w:cs="Corbel"/>
          <w:sz w:val="24"/>
        </w:rPr>
        <w:t xml:space="preserve"> </w:t>
      </w:r>
      <w:r w:rsidR="00182ACE" w:rsidRPr="00182ACE">
        <w:rPr>
          <w:rFonts w:ascii="Corbel" w:eastAsia="Corbel" w:hAnsi="Corbel" w:cs="Corbel"/>
          <w:sz w:val="24"/>
        </w:rPr>
        <w:tab/>
      </w:r>
      <w:r w:rsidRPr="00182ACE">
        <w:rPr>
          <w:rFonts w:ascii="Corbel" w:eastAsia="Corbel" w:hAnsi="Corbel" w:cs="Corbel"/>
          <w:sz w:val="24"/>
        </w:rPr>
        <w:t xml:space="preserve">zajęcia w formie tradycyjnej  </w:t>
      </w:r>
    </w:p>
    <w:p w:rsidR="00210EE5" w:rsidRDefault="00A6737B" w:rsidP="00182ACE">
      <w:pPr>
        <w:spacing w:after="47" w:line="249" w:lineRule="auto"/>
        <w:ind w:right="-15"/>
      </w:pPr>
      <w:r w:rsidRPr="00182ACE">
        <w:rPr>
          <w:rFonts w:ascii="Segoe UI Symbol" w:eastAsia="MS Gothic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</w:t>
      </w:r>
      <w:r w:rsidR="00182ACE"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1.3  Forma zaliczenia przedmiotu (z toku) </w:t>
      </w:r>
      <w:r>
        <w:rPr>
          <w:rFonts w:ascii="Corbel" w:eastAsia="Corbel" w:hAnsi="Corbel" w:cs="Corbel"/>
          <w:sz w:val="24"/>
        </w:rPr>
        <w:t xml:space="preserve">(egzamin, zaliczenie z oceną, zaliczenie bez oceny) </w:t>
      </w:r>
    </w:p>
    <w:p w:rsidR="00210EE5" w:rsidRDefault="00A6737B">
      <w:pPr>
        <w:spacing w:after="37" w:line="244" w:lineRule="auto"/>
        <w:ind w:left="294" w:right="-15" w:hanging="10"/>
      </w:pP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ab/>
        <w:t xml:space="preserve">Egzamin </w:t>
      </w:r>
    </w:p>
    <w:p w:rsidR="00210EE5" w:rsidRDefault="00A6737B">
      <w:pPr>
        <w:pStyle w:val="Nagwek1"/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210EE5" w:rsidRDefault="00A6737B">
      <w:pPr>
        <w:spacing w:after="8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 w:rsidP="00182AC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18" w:hanging="10"/>
        <w:jc w:val="both"/>
      </w:pPr>
      <w:r>
        <w:rPr>
          <w:rFonts w:ascii="Corbel" w:eastAsia="Corbel" w:hAnsi="Corbel" w:cs="Corbel"/>
          <w:sz w:val="24"/>
        </w:rPr>
        <w:lastRenderedPageBreak/>
        <w:t xml:space="preserve">Ogólna wiedza o procesach komunikowania w społeczeństwie, wsparta zainteresowaniem przekazami medialnymi oraz wykorzystaniem mediów przez aktorów politycznych.  </w:t>
      </w:r>
    </w:p>
    <w:p w:rsidR="00210EE5" w:rsidRDefault="00A6737B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210EE5" w:rsidRDefault="00A6737B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210EE5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Wprowadzenie w podstawowe pojęcia, teorie i modele dotyczące marketingu politycznego. </w:t>
            </w:r>
          </w:p>
        </w:tc>
      </w:tr>
      <w:tr w:rsidR="00210EE5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Poznanie przez studentów zasad rynkowego spojrzenia na mechanizmy polityki. </w:t>
            </w:r>
          </w:p>
        </w:tc>
      </w:tr>
      <w:tr w:rsidR="00210EE5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Zdobycie umiejętności analizy, oceny oraz podstaw planowania i organizowania kampanii politycznych.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1"/>
        <w:tblW w:w="9672" w:type="dxa"/>
        <w:tblInd w:w="0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182ACE" w:rsidTr="00182ACE">
        <w:trPr>
          <w:trHeight w:val="768"/>
        </w:trPr>
        <w:tc>
          <w:tcPr>
            <w:tcW w:w="1702" w:type="dxa"/>
            <w:vAlign w:val="center"/>
          </w:tcPr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EK</w:t>
            </w:r>
            <w:r>
              <w:rPr>
                <w:rFonts w:ascii="Times New Roman" w:eastAsia="Times New Roman" w:hAnsi="Times New Roman" w:cs="Times New Roman"/>
              </w:rPr>
              <w:t xml:space="preserve"> (efekt uczenia się) </w:t>
            </w:r>
          </w:p>
        </w:tc>
        <w:tc>
          <w:tcPr>
            <w:tcW w:w="6098" w:type="dxa"/>
            <w:vAlign w:val="center"/>
          </w:tcPr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Treść efektu uczenia się zdefiniowanego dla przedmiotu  </w:t>
            </w:r>
          </w:p>
        </w:tc>
        <w:tc>
          <w:tcPr>
            <w:tcW w:w="1872" w:type="dxa"/>
          </w:tcPr>
          <w:p w:rsidR="00182ACE" w:rsidRDefault="00182ACE" w:rsidP="00517820">
            <w:pPr>
              <w:spacing w:line="232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Odniesienie do efektów  </w:t>
            </w:r>
          </w:p>
          <w:p w:rsidR="00182ACE" w:rsidRDefault="00182ACE" w:rsidP="0051782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kierunkowych 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TableGrid"/>
        <w:tblW w:w="9672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210EE5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Zna warunki i metody zastosowania mediów w kampaniach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K_W03 </w:t>
            </w:r>
          </w:p>
        </w:tc>
      </w:tr>
      <w:tr w:rsidR="00210EE5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Rozumie pojęcie i uwarunkowania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medializacji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polityki.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K_W16 </w:t>
            </w:r>
          </w:p>
        </w:tc>
      </w:tr>
      <w:tr w:rsidR="00210EE5">
        <w:trPr>
          <w:trHeight w:val="3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analizować przebieg procesów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210EE5">
        <w:trPr>
          <w:trHeight w:val="59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stosować nowoczesne techniki informacyjne w celu poszerzenia wiedzy i umiejętności.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K_U02 </w:t>
            </w:r>
          </w:p>
        </w:tc>
      </w:tr>
      <w:tr w:rsidR="00210EE5">
        <w:trPr>
          <w:trHeight w:val="59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Potrafi analizować treści przekazów medialnych i korzystać z tych analiz.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K_U03 </w:t>
            </w:r>
          </w:p>
        </w:tc>
      </w:tr>
      <w:tr w:rsidR="00210EE5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Jest przygotowany do organizowania i aktywnego uczestniczenia w kampaniach politycznych.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  <w:tr w:rsidR="00210EE5">
        <w:trPr>
          <w:trHeight w:val="32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Jest przygotowany do uczestnictwa w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EE5" w:rsidRDefault="00210EE5"/>
        </w:tc>
      </w:tr>
      <w:tr w:rsidR="00210EE5">
        <w:trPr>
          <w:trHeight w:val="566"/>
        </w:trPr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210EE5"/>
        </w:tc>
        <w:tc>
          <w:tcPr>
            <w:tcW w:w="6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zinstytucjonalizowanych formach aktywności obywatelskiej. 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K_K06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:rsidR="00210EE5" w:rsidRDefault="00A6737B">
      <w:pPr>
        <w:numPr>
          <w:ilvl w:val="0"/>
          <w:numId w:val="1"/>
        </w:numPr>
        <w:spacing w:after="47" w:line="249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210EE5" w:rsidRDefault="00A6737B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Wprowadzenie i definicje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Historia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Rynek polityczny i produkt polityczny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lastRenderedPageBreak/>
              <w:t xml:space="preserve">Mediatyzacja polityki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Wizerunek polityczny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Reklama polityczna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Kultura polityczna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Marketing terytorialny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Etyka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Mit polityczny i marketing narracyjny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1"/>
        </w:numPr>
        <w:spacing w:after="47" w:line="249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210EE5" w:rsidRDefault="00A6737B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right="1764"/>
            </w:pPr>
            <w:r>
              <w:rPr>
                <w:rFonts w:ascii="Corbel" w:eastAsia="Corbel" w:hAnsi="Corbel" w:cs="Corbel"/>
                <w:sz w:val="24"/>
              </w:rPr>
              <w:t xml:space="preserve">Etyczne dylematy kampanii wyborczych oraz pracy konsultanta politycznego. Analiza tekstu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Interpretacja tekstu/filmu z zakresu marketingu politycznego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Teorie głosowania wyborców.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samodzielnie wyszukanego przypadku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spinu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Dyskusja nad typami wizerunków polityków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przypadków reklam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Kampania negatywna – analiza studiów przypadku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Zasady współpracy z mediami w kampaniach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przykładów mitów politycznych i marketingu narracyjnego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planu marketingu terytorialnego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Analiza przypadków marketingu wojennego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Narzędzia kampanii wyborczych – biogram,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bilboard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ulotka, plakat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wykorzystania mediów społecznościowych w kampanii politycznej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Dyskusja nad skutecznością przekazów politycznych </w:t>
            </w:r>
          </w:p>
        </w:tc>
      </w:tr>
      <w:tr w:rsidR="00210EE5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Symulacja kampanii bezpośredniej </w:t>
            </w:r>
          </w:p>
        </w:tc>
      </w:tr>
    </w:tbl>
    <w:p w:rsidR="00210EE5" w:rsidRDefault="00A6737B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7" w:line="244" w:lineRule="auto"/>
        <w:ind w:left="423" w:right="-15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Ćwiczenia: analiza i interpretacja tekstów źródłowych, gry symulacyjne, analiza przypadków, dyskusja. </w:t>
      </w:r>
    </w:p>
    <w:p w:rsidR="0035533A" w:rsidRDefault="0035533A">
      <w:pPr>
        <w:spacing w:after="160" w:line="259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br w:type="page"/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METODY I KRYTERIA OCENY 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numPr>
          <w:ilvl w:val="1"/>
          <w:numId w:val="2"/>
        </w:numPr>
        <w:spacing w:after="37" w:line="244" w:lineRule="auto"/>
        <w:ind w:right="-15"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5103"/>
        <w:gridCol w:w="2127"/>
      </w:tblGrid>
      <w:tr w:rsidR="00210EE5">
        <w:trPr>
          <w:trHeight w:val="118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210EE5" w:rsidRDefault="00A6737B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</w:t>
            </w:r>
          </w:p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210EE5">
        <w:trPr>
          <w:trHeight w:val="30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19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 xml:space="preserve">egzamin pisemny i ustny, projekt zaliczeniowy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wykład, ćwiczenia </w:t>
            </w:r>
          </w:p>
        </w:tc>
      </w:tr>
      <w:tr w:rsidR="00210EE5">
        <w:trPr>
          <w:trHeight w:val="30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>E</w:t>
            </w:r>
            <w:r>
              <w:rPr>
                <w:rFonts w:ascii="Corbel" w:eastAsia="Corbel" w:hAnsi="Corbel" w:cs="Corbel"/>
                <w:sz w:val="19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ustny, 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wykład, 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egzamin pisemny i ustny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wykład </w:t>
            </w:r>
          </w:p>
        </w:tc>
      </w:tr>
      <w:tr w:rsidR="00210EE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  <w:tr w:rsidR="00210EE5">
        <w:trPr>
          <w:trHeight w:val="27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i/>
              </w:rPr>
              <w:t>projekt zaliczeniowy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</w:rPr>
              <w:t xml:space="preserve">ćwiczenia </w:t>
            </w:r>
          </w:p>
        </w:tc>
      </w:tr>
    </w:tbl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1"/>
          <w:numId w:val="2"/>
        </w:numPr>
        <w:spacing w:after="37" w:line="244" w:lineRule="auto"/>
        <w:ind w:right="-15"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210EE5" w:rsidRDefault="00A6737B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8" w:line="248" w:lineRule="auto"/>
        <w:ind w:left="103" w:right="158" w:hanging="10"/>
        <w:jc w:val="both"/>
      </w:pPr>
      <w:r>
        <w:rPr>
          <w:rFonts w:ascii="Corbel" w:eastAsia="Corbel" w:hAnsi="Corbel" w:cs="Corbel"/>
          <w:sz w:val="24"/>
        </w:rPr>
        <w:t xml:space="preserve">Egzamin: Oceny cząstkowe na podstawie prac pisemnych dotyczących poszczególnych tematów wykładu oraz egzamin ustny. </w:t>
      </w:r>
    </w:p>
    <w:p w:rsidR="00210EE5" w:rsidRDefault="00A6737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03" w:right="158" w:hanging="10"/>
        <w:jc w:val="both"/>
      </w:pPr>
      <w:r>
        <w:rPr>
          <w:rFonts w:ascii="Corbel" w:eastAsia="Corbel" w:hAnsi="Corbel" w:cs="Corbel"/>
          <w:sz w:val="24"/>
        </w:rPr>
        <w:t>Forma zaliczenia ćwiczeń: projekt w grupach – koncepcja kampanii wyborczej kandydata, partii politycznej lub komitetu wyborców. Studenci przedstawiają plan kampanii, jej przekaz, przygotowują narzędzia kampanii wyborczej (ulotkę, plakat, biografię wyborczą kandydata).  Aktywność w trakcie ćwiczeń ma wpływ na podniesienie oceny.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210EE5" w:rsidRDefault="00A6737B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210EE5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210EE5">
        <w:trPr>
          <w:trHeight w:val="596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r>
              <w:rPr>
                <w:rFonts w:ascii="Corbel" w:eastAsia="Corbel" w:hAnsi="Corbel" w:cs="Corbel"/>
                <w:sz w:val="24"/>
              </w:rPr>
              <w:t xml:space="preserve">Godziny kontaktowe wynikające z </w:t>
            </w:r>
            <w:r w:rsidR="00182ACE">
              <w:rPr>
                <w:rFonts w:ascii="Corbel" w:eastAsia="Corbel" w:hAnsi="Corbel" w:cs="Corbel"/>
                <w:sz w:val="24"/>
              </w:rPr>
              <w:t xml:space="preserve">harmonogramu </w:t>
            </w:r>
            <w:r>
              <w:rPr>
                <w:rFonts w:ascii="Corbel" w:eastAsia="Corbel" w:hAnsi="Corbel" w:cs="Corbel"/>
                <w:sz w:val="24"/>
              </w:rPr>
              <w:t xml:space="preserve">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 w:rsidP="00182ACE">
            <w:pPr>
              <w:jc w:val="center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210EE5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</w:t>
            </w:r>
          </w:p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210EE5">
        <w:trPr>
          <w:trHeight w:val="1183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(przygotowanie do zajęć, egzaminu, przygotowanie pracy projektowej, samodzielne studiowanie literatury przedmiotu).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210EE5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 w:rsidP="00182AC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210EE5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182ACE" w:rsidRDefault="00A6737B" w:rsidP="00182ACE">
            <w:pPr>
              <w:jc w:val="center"/>
              <w:rPr>
                <w:b/>
              </w:rPr>
            </w:pPr>
            <w:r w:rsidRPr="00182ACE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210EE5" w:rsidRDefault="00A6737B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210EE5" w:rsidRDefault="00A6737B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lastRenderedPageBreak/>
        <w:t>PRAKTYK</w:t>
      </w:r>
      <w:r w:rsidR="00096D9F">
        <w:rPr>
          <w:rFonts w:ascii="Corbel" w:eastAsia="Corbel" w:hAnsi="Corbel" w:cs="Corbel"/>
          <w:b/>
          <w:sz w:val="24"/>
        </w:rPr>
        <w:t>I ZAWODOWE W RAMACH PRZEDMIOTU</w:t>
      </w:r>
    </w:p>
    <w:p w:rsidR="00210EE5" w:rsidRDefault="00A6737B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505" w:type="dxa"/>
        <w:tblInd w:w="279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4960"/>
      </w:tblGrid>
      <w:tr w:rsidR="00210EE5" w:rsidTr="00B67D1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096D9F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210EE5" w:rsidTr="00B67D1E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096D9F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numPr>
          <w:ilvl w:val="0"/>
          <w:numId w:val="2"/>
        </w:numPr>
        <w:spacing w:after="37" w:line="244" w:lineRule="auto"/>
        <w:ind w:right="-15"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210EE5" w:rsidRDefault="00A6737B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505" w:type="dxa"/>
        <w:tblInd w:w="279" w:type="dxa"/>
        <w:tblCellMar>
          <w:top w:w="54" w:type="dxa"/>
          <w:left w:w="110" w:type="dxa"/>
          <w:right w:w="62" w:type="dxa"/>
        </w:tblCellMar>
        <w:tblLook w:val="04A0" w:firstRow="1" w:lastRow="0" w:firstColumn="1" w:lastColumn="0" w:noHBand="0" w:noVBand="1"/>
      </w:tblPr>
      <w:tblGrid>
        <w:gridCol w:w="8505"/>
      </w:tblGrid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8" w:line="240" w:lineRule="auto"/>
            </w:pPr>
            <w:r w:rsidRPr="00096D9F">
              <w:rPr>
                <w:rFonts w:ascii="Corbel" w:eastAsia="Corbel" w:hAnsi="Corbel" w:cs="Corbel"/>
                <w:b/>
                <w:sz w:val="24"/>
              </w:rPr>
              <w:t>Literatura podstawowa</w:t>
            </w:r>
            <w:r>
              <w:rPr>
                <w:rFonts w:ascii="Corbel" w:eastAsia="Corbel" w:hAnsi="Corbel" w:cs="Corbel"/>
                <w:sz w:val="24"/>
              </w:rPr>
              <w:t>:</w:t>
            </w:r>
            <w:r>
              <w:rPr>
                <w:rFonts w:ascii="Corbel" w:eastAsia="Corbel" w:hAnsi="Corbel" w:cs="Corbel"/>
                <w:color w:val="FF0000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 a b ł o ń s k i Andrzej W., S o b k o w i a k Leszek (red.),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</w:t>
            </w:r>
          </w:p>
          <w:p w:rsidR="00210EE5" w:rsidRDefault="00A6737B">
            <w:pPr>
              <w:spacing w:after="37" w:line="250" w:lineRule="auto"/>
              <w:ind w:left="566"/>
            </w:pPr>
            <w:r>
              <w:rPr>
                <w:rFonts w:ascii="Corbel" w:eastAsia="Corbel" w:hAnsi="Corbel" w:cs="Corbel"/>
                <w:i/>
                <w:sz w:val="24"/>
              </w:rPr>
              <w:t>polityczny w teorii i praktyce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2002. </w:t>
            </w:r>
          </w:p>
          <w:p w:rsidR="00210EE5" w:rsidRDefault="00A6737B">
            <w:pPr>
              <w:spacing w:after="37" w:line="249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C w a l i n a Wojciech, F a l k o w s k i Andrzej, </w:t>
            </w:r>
            <w:r>
              <w:rPr>
                <w:rFonts w:ascii="Corbel" w:eastAsia="Corbel" w:hAnsi="Corbel" w:cs="Corbel"/>
                <w:i/>
                <w:sz w:val="24"/>
              </w:rPr>
              <w:t>Marketing polityczny. Perspektywa psychologiczna</w:t>
            </w:r>
            <w:r>
              <w:rPr>
                <w:rFonts w:ascii="Corbel" w:eastAsia="Corbel" w:hAnsi="Corbel" w:cs="Corbel"/>
                <w:sz w:val="24"/>
              </w:rPr>
              <w:t xml:space="preserve">, Gdańskie Wydawnictwo </w:t>
            </w:r>
          </w:p>
          <w:p w:rsidR="00210EE5" w:rsidRDefault="00A6737B">
            <w:pPr>
              <w:spacing w:after="38" w:line="240" w:lineRule="auto"/>
              <w:ind w:left="566"/>
            </w:pPr>
            <w:r>
              <w:rPr>
                <w:rFonts w:ascii="Corbel" w:eastAsia="Corbel" w:hAnsi="Corbel" w:cs="Corbel"/>
                <w:sz w:val="24"/>
              </w:rPr>
              <w:t xml:space="preserve">Psychologiczne, Gdańsk 2005. </w:t>
            </w:r>
          </w:p>
          <w:p w:rsidR="00096D9F" w:rsidRPr="00096D9F" w:rsidRDefault="00A6737B" w:rsidP="00096D9F">
            <w:pPr>
              <w:ind w:left="566" w:hanging="56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De Barbaro Natalia, </w:t>
            </w:r>
            <w:r>
              <w:rPr>
                <w:rFonts w:ascii="Corbel" w:eastAsia="Corbel" w:hAnsi="Corbel" w:cs="Corbel"/>
                <w:i/>
                <w:sz w:val="24"/>
              </w:rPr>
              <w:t>Dojść do głosu. Radykalnie praktyczny przewodnik po kampanii wyborczej</w:t>
            </w:r>
            <w:r>
              <w:rPr>
                <w:rFonts w:ascii="Corbel" w:eastAsia="Corbel" w:hAnsi="Corbel" w:cs="Corbel"/>
                <w:sz w:val="24"/>
              </w:rPr>
              <w:t>, Kraków 2005.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Pr="00B86DD2" w:rsidRDefault="00A6737B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B86DD2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:rsidR="00096D9F" w:rsidRDefault="00096D9F">
            <w:pPr>
              <w:spacing w:after="38" w:line="240" w:lineRule="auto"/>
            </w:pP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D o b e k - O s t r o w s k a Bogusława (red.),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Kampania wyborcza: </w:t>
            </w:r>
          </w:p>
          <w:p w:rsidR="00210EE5" w:rsidRDefault="00A6737B">
            <w:pPr>
              <w:ind w:left="566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marketingowe aspekty komunikowania politycznego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2005. </w:t>
            </w:r>
          </w:p>
          <w:p w:rsidR="00B67D1E" w:rsidRDefault="00B67D1E" w:rsidP="00B67D1E">
            <w:pPr>
              <w:spacing w:after="37" w:line="248" w:lineRule="auto"/>
              <w:ind w:left="566" w:right="267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 l i s J a r o s ł a w , </w:t>
            </w:r>
            <w:r>
              <w:rPr>
                <w:rFonts w:ascii="Corbel" w:eastAsia="Corbel" w:hAnsi="Corbel" w:cs="Corbel"/>
                <w:i/>
                <w:sz w:val="24"/>
              </w:rPr>
              <w:t>Złudzenia wyboru. Społeczne wyobrażenia i instytucjonalne ramy w wyborach do sejmu i senatu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Jagiellońskiego, Kraków 2014. </w:t>
            </w:r>
          </w:p>
          <w:p w:rsidR="00B67D1E" w:rsidRDefault="00B67D1E" w:rsidP="00B67D1E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 e z i ń s k i Marek,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polityczny a procesy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akulturacyjne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. </w:t>
            </w:r>
          </w:p>
          <w:p w:rsidR="00B67D1E" w:rsidRDefault="00B67D1E" w:rsidP="00B67D1E">
            <w:pPr>
              <w:spacing w:after="37" w:line="248" w:lineRule="auto"/>
              <w:ind w:left="566"/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>Przypadek III Rzeczypospolitej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Mikołaja Kopernika, Toruń 2004. </w:t>
            </w:r>
          </w:p>
          <w:p w:rsidR="00B67D1E" w:rsidRDefault="00B67D1E" w:rsidP="00B67D1E">
            <w:pPr>
              <w:spacing w:after="37" w:line="248" w:lineRule="auto"/>
              <w:ind w:left="566" w:right="35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Ł ó d z k i Bartłomiej, </w:t>
            </w:r>
            <w:r>
              <w:rPr>
                <w:rFonts w:ascii="Corbel" w:eastAsia="Corbel" w:hAnsi="Corbel" w:cs="Corbel"/>
                <w:i/>
                <w:sz w:val="24"/>
              </w:rPr>
              <w:t>Ustanawianie agendy mediów podczas kampanii wyborczych w 2005 roku</w:t>
            </w:r>
            <w:r>
              <w:rPr>
                <w:rFonts w:ascii="Corbel" w:eastAsia="Corbel" w:hAnsi="Corbel" w:cs="Corbel"/>
                <w:sz w:val="24"/>
              </w:rPr>
              <w:t xml:space="preserve">, Wydawnictwo Uniwersytetu Wrocławskiego, Wrocław 2010. </w:t>
            </w:r>
          </w:p>
          <w:p w:rsidR="00B67D1E" w:rsidRDefault="00B67D1E" w:rsidP="00B67D1E">
            <w:pPr>
              <w:spacing w:after="40" w:line="248" w:lineRule="auto"/>
              <w:ind w:left="566" w:right="258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a z u r Marek, </w:t>
            </w:r>
            <w:r>
              <w:rPr>
                <w:rFonts w:ascii="Corbel" w:eastAsia="Corbel" w:hAnsi="Corbel" w:cs="Corbel"/>
                <w:i/>
                <w:sz w:val="24"/>
              </w:rPr>
              <w:t>Marketing polityczny. Studium porównawcze prezydenckich kampanii wyborczych w USA i Polsce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2002. </w:t>
            </w:r>
          </w:p>
          <w:p w:rsidR="00B67D1E" w:rsidRDefault="00B67D1E" w:rsidP="00B67D1E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i c h a l c z y k Stanisław, </w:t>
            </w:r>
            <w:r>
              <w:rPr>
                <w:rFonts w:ascii="Corbel" w:eastAsia="Corbel" w:hAnsi="Corbel" w:cs="Corbel"/>
                <w:i/>
                <w:sz w:val="24"/>
              </w:rPr>
              <w:t>Demokracja medialna. Teoretyczna analiza problemu</w:t>
            </w:r>
            <w:r>
              <w:rPr>
                <w:rFonts w:ascii="Corbel" w:eastAsia="Corbel" w:hAnsi="Corbel" w:cs="Corbel"/>
                <w:sz w:val="24"/>
              </w:rPr>
              <w:t xml:space="preserve">, Wydawnictwo Adam Marszałek, Toruń 2010. </w:t>
            </w:r>
          </w:p>
          <w:p w:rsidR="00B67D1E" w:rsidRDefault="00B67D1E" w:rsidP="00B67D1E">
            <w:pPr>
              <w:spacing w:after="37" w:line="249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i o t k Anna,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Skuteczne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social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media. Prowadź działania, osiągaj zamierzone efekty, </w:t>
            </w:r>
            <w:r>
              <w:rPr>
                <w:rFonts w:ascii="Corbel" w:eastAsia="Corbel" w:hAnsi="Corbel" w:cs="Corbel"/>
                <w:sz w:val="24"/>
              </w:rPr>
              <w:t xml:space="preserve">Helion, Gliwice 2017. </w:t>
            </w:r>
          </w:p>
          <w:p w:rsidR="00B67D1E" w:rsidRDefault="00B67D1E" w:rsidP="00B67D1E"/>
        </w:tc>
      </w:tr>
      <w:tr w:rsidR="00210EE5" w:rsidTr="00B67D1E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EE5" w:rsidRDefault="00A6737B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 ł y n i e c Eugeniusz, </w:t>
            </w:r>
            <w:r>
              <w:rPr>
                <w:rFonts w:ascii="Corbel" w:eastAsia="Corbel" w:hAnsi="Corbel" w:cs="Corbel"/>
                <w:i/>
                <w:sz w:val="24"/>
              </w:rPr>
              <w:t>Opinia publiczna. Wstęp do teorii</w:t>
            </w:r>
            <w:r>
              <w:rPr>
                <w:rFonts w:ascii="Corbel" w:eastAsia="Corbel" w:hAnsi="Corbel" w:cs="Corbel"/>
                <w:sz w:val="24"/>
              </w:rPr>
              <w:t xml:space="preserve">, Wydawnictwo Forum Naukowe, Poznań 2002. </w:t>
            </w:r>
          </w:p>
          <w:p w:rsidR="00210EE5" w:rsidRDefault="00A6737B">
            <w:pPr>
              <w:spacing w:after="37" w:line="248" w:lineRule="auto"/>
              <w:ind w:left="566" w:right="49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 a w e ł c z y k Piotr, </w:t>
            </w:r>
            <w:r>
              <w:rPr>
                <w:rFonts w:ascii="Corbel" w:eastAsia="Corbel" w:hAnsi="Corbel" w:cs="Corbel"/>
                <w:i/>
                <w:sz w:val="24"/>
              </w:rPr>
              <w:t>Socjotechniczne aspekty gry politycznej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Uniwersytetu im. Adama Mickiewicza, Poznań 2000.  </w:t>
            </w:r>
          </w:p>
          <w:p w:rsidR="00210EE5" w:rsidRDefault="00A6737B">
            <w:pPr>
              <w:spacing w:after="37" w:line="248" w:lineRule="auto"/>
              <w:ind w:left="566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P ł u d o w s k i Tomasz, </w:t>
            </w:r>
            <w:r>
              <w:rPr>
                <w:rFonts w:ascii="Corbel" w:eastAsia="Corbel" w:hAnsi="Corbel" w:cs="Corbel"/>
                <w:i/>
                <w:sz w:val="24"/>
              </w:rPr>
              <w:t>Komunikacja polityczna w amerykańskich kampaniach wyborczych</w:t>
            </w:r>
            <w:r>
              <w:rPr>
                <w:rFonts w:ascii="Corbel" w:eastAsia="Corbel" w:hAnsi="Corbel" w:cs="Corbel"/>
                <w:sz w:val="24"/>
              </w:rPr>
              <w:t xml:space="preserve">, WN PWN, Warszawa 2008. </w:t>
            </w:r>
          </w:p>
          <w:p w:rsidR="00210EE5" w:rsidRDefault="00A6737B">
            <w:pPr>
              <w:spacing w:after="37" w:line="248" w:lineRule="auto"/>
              <w:ind w:left="566" w:right="12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 r a t k a n i s Anthony, A r o n s o n Elliot, </w:t>
            </w:r>
            <w:r>
              <w:rPr>
                <w:rFonts w:ascii="Corbel" w:eastAsia="Corbel" w:hAnsi="Corbel" w:cs="Corbel"/>
                <w:i/>
                <w:sz w:val="24"/>
              </w:rPr>
              <w:t>Wiek propagandy. Używanie i nadużywanie perswazji na co dzień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2003. </w:t>
            </w:r>
          </w:p>
          <w:p w:rsidR="00210EE5" w:rsidRDefault="00A6737B">
            <w:pPr>
              <w:spacing w:after="37" w:line="249" w:lineRule="auto"/>
              <w:ind w:left="566" w:right="651" w:hanging="566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 i s z n i o w s k i Robert,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Marketing wyborczy. Studium kampanii wyborczych w systemach prezydenckich i </w:t>
            </w: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semiprezydenckich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(Finlandia, Francja, Polska, Stany Zjednoczone)</w:t>
            </w:r>
            <w:r>
              <w:rPr>
                <w:rFonts w:ascii="Corbel" w:eastAsia="Corbel" w:hAnsi="Corbel" w:cs="Corbel"/>
                <w:sz w:val="24"/>
              </w:rPr>
              <w:t xml:space="preserve">, Wydawnictwo Naukowe PWN, Warszawa 2000.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Zalecane strony internetowe</w:t>
            </w:r>
            <w:r>
              <w:rPr>
                <w:rFonts w:ascii="Corbel" w:eastAsia="Corbel" w:hAnsi="Corbel" w:cs="Corbel"/>
                <w:color w:val="800000"/>
                <w:sz w:val="24"/>
              </w:rPr>
              <w:t xml:space="preserve"> </w:t>
            </w:r>
          </w:p>
          <w:p w:rsidR="00210EE5" w:rsidRDefault="00A6737B">
            <w:pPr>
              <w:spacing w:after="38" w:line="240" w:lineRule="auto"/>
            </w:pPr>
            <w:r>
              <w:rPr>
                <w:rFonts w:ascii="Corbel" w:eastAsia="Corbel" w:hAnsi="Corbel" w:cs="Corbel"/>
                <w:color w:val="800000"/>
                <w:sz w:val="24"/>
              </w:rPr>
              <w:t xml:space="preserve"> </w:t>
            </w:r>
          </w:p>
          <w:p w:rsidR="00210EE5" w:rsidRDefault="00A6737B">
            <w:r>
              <w:rPr>
                <w:rFonts w:ascii="Corbel" w:eastAsia="Corbel" w:hAnsi="Corbel" w:cs="Corbel"/>
                <w:sz w:val="24"/>
              </w:rPr>
              <w:t xml:space="preserve">Ośrodek Analiz Politologicznych UW www.oapuw.pl http://bur.univ.rzeszow.pl/e-zrodla </w:t>
            </w:r>
          </w:p>
        </w:tc>
      </w:tr>
    </w:tbl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210EE5" w:rsidRDefault="00A6737B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210EE5" w:rsidRDefault="00A6737B">
      <w:pPr>
        <w:spacing w:after="47" w:line="249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210EE5" w:rsidRDefault="00A6737B">
      <w:pPr>
        <w:spacing w:line="240" w:lineRule="auto"/>
        <w:ind w:left="360" w:right="270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210EE5" w:rsidRDefault="00210EE5">
      <w:pPr>
        <w:spacing w:line="240" w:lineRule="auto"/>
        <w:ind w:left="5069"/>
      </w:pPr>
    </w:p>
    <w:sectPr w:rsidR="00210EE5">
      <w:pgSz w:w="11906" w:h="16838"/>
      <w:pgMar w:top="1138" w:right="957" w:bottom="117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EA5" w:rsidRDefault="00A62EA5" w:rsidP="00182ACE">
      <w:pPr>
        <w:spacing w:line="240" w:lineRule="auto"/>
      </w:pPr>
      <w:r>
        <w:separator/>
      </w:r>
    </w:p>
  </w:endnote>
  <w:endnote w:type="continuationSeparator" w:id="0">
    <w:p w:rsidR="00A62EA5" w:rsidRDefault="00A62EA5" w:rsidP="00182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EA5" w:rsidRDefault="00A62EA5" w:rsidP="00182ACE">
      <w:pPr>
        <w:spacing w:line="240" w:lineRule="auto"/>
      </w:pPr>
      <w:r>
        <w:separator/>
      </w:r>
    </w:p>
  </w:footnote>
  <w:footnote w:type="continuationSeparator" w:id="0">
    <w:p w:rsidR="00A62EA5" w:rsidRDefault="00A62EA5" w:rsidP="00182ACE">
      <w:pPr>
        <w:spacing w:line="240" w:lineRule="auto"/>
      </w:pPr>
      <w:r>
        <w:continuationSeparator/>
      </w:r>
    </w:p>
  </w:footnote>
  <w:footnote w:id="1">
    <w:p w:rsidR="00182ACE" w:rsidRDefault="00182ACE" w:rsidP="00182ACE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03389"/>
    <w:multiLevelType w:val="multilevel"/>
    <w:tmpl w:val="72C2071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66A18"/>
    <w:multiLevelType w:val="hybridMultilevel"/>
    <w:tmpl w:val="CE60CEB2"/>
    <w:lvl w:ilvl="0" w:tplc="0DBE9C6A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DEB7C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3ECD9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1A2666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E3C74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C210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10560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8A0554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A3ACC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EE5"/>
    <w:rsid w:val="00096D9F"/>
    <w:rsid w:val="00182ACE"/>
    <w:rsid w:val="00210EE5"/>
    <w:rsid w:val="002E7628"/>
    <w:rsid w:val="0035533A"/>
    <w:rsid w:val="003C6DF4"/>
    <w:rsid w:val="004122C7"/>
    <w:rsid w:val="004A6595"/>
    <w:rsid w:val="004F66A7"/>
    <w:rsid w:val="00664D79"/>
    <w:rsid w:val="007A15F6"/>
    <w:rsid w:val="007F528F"/>
    <w:rsid w:val="00820FF1"/>
    <w:rsid w:val="008D30B0"/>
    <w:rsid w:val="00A62EA5"/>
    <w:rsid w:val="00A6737B"/>
    <w:rsid w:val="00A97F23"/>
    <w:rsid w:val="00B67D1E"/>
    <w:rsid w:val="00B86DD2"/>
    <w:rsid w:val="00BA1DB7"/>
    <w:rsid w:val="00EF5225"/>
    <w:rsid w:val="00F02B74"/>
    <w:rsid w:val="00F3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C741"/>
  <w15:docId w15:val="{35BD500E-F286-48E0-B7B3-A54EB7EB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182ACE"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82ACE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182AC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1">
    <w:name w:val="TableGrid1"/>
    <w:rsid w:val="00182AC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14</cp:revision>
  <dcterms:created xsi:type="dcterms:W3CDTF">2020-10-28T17:51:00Z</dcterms:created>
  <dcterms:modified xsi:type="dcterms:W3CDTF">2021-03-09T13:09:00Z</dcterms:modified>
</cp:coreProperties>
</file>